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2317F" w14:textId="2E624E33" w:rsidR="00DB0287" w:rsidRDefault="00DB0287" w:rsidP="0028745E">
      <w:pPr>
        <w:spacing w:after="0" w:line="276" w:lineRule="auto"/>
        <w:ind w:left="720"/>
        <w:rPr>
          <w:rFonts w:cstheme="minorHAnsi"/>
          <w:b/>
          <w:bCs/>
          <w:sz w:val="23"/>
          <w:szCs w:val="23"/>
        </w:rPr>
      </w:pPr>
      <w:r w:rsidRPr="2EC71D0B">
        <w:rPr>
          <w:rFonts w:eastAsiaTheme="majorEastAsia"/>
          <w:color w:val="2E74B5" w:themeColor="accent1" w:themeShade="BF"/>
          <w:sz w:val="26"/>
          <w:szCs w:val="26"/>
        </w:rPr>
        <w:t>Vihreän siirtymän mahdollistavat rakentamisen säädökset</w:t>
      </w:r>
      <w:r w:rsidR="00AE321A" w:rsidRPr="2EC71D0B">
        <w:rPr>
          <w:rFonts w:eastAsiaTheme="majorEastAsia"/>
          <w:color w:val="2E74B5" w:themeColor="accent1" w:themeShade="BF"/>
          <w:sz w:val="26"/>
          <w:szCs w:val="26"/>
        </w:rPr>
        <w:t xml:space="preserve"> </w:t>
      </w:r>
      <w:r w:rsidR="00AE321A">
        <w:rPr>
          <w:rFonts w:eastAsiaTheme="majorEastAsia" w:cstheme="minorHAnsi"/>
          <w:color w:val="2E74B5" w:themeColor="accent1" w:themeShade="BF"/>
          <w:sz w:val="26"/>
          <w:szCs w:val="26"/>
        </w:rPr>
        <w:tab/>
      </w:r>
      <w:r w:rsidR="00AE321A">
        <w:rPr>
          <w:rFonts w:eastAsiaTheme="majorEastAsia" w:cstheme="minorHAnsi"/>
          <w:color w:val="2E74B5" w:themeColor="accent1" w:themeShade="BF"/>
          <w:sz w:val="26"/>
          <w:szCs w:val="26"/>
        </w:rPr>
        <w:tab/>
      </w:r>
      <w:r w:rsidR="00AE321A">
        <w:rPr>
          <w:rFonts w:eastAsiaTheme="majorEastAsia" w:cstheme="minorHAnsi"/>
          <w:color w:val="2E74B5" w:themeColor="accent1" w:themeShade="BF"/>
          <w:sz w:val="26"/>
          <w:szCs w:val="26"/>
        </w:rPr>
        <w:tab/>
      </w:r>
      <w:r w:rsidR="00454AE0">
        <w:rPr>
          <w:rFonts w:eastAsiaTheme="majorEastAsia" w:cstheme="minorHAnsi"/>
          <w:color w:val="2E74B5" w:themeColor="accent1" w:themeShade="BF"/>
          <w:sz w:val="26"/>
          <w:szCs w:val="26"/>
        </w:rPr>
        <w:tab/>
      </w:r>
      <w:r w:rsidR="00454AE0">
        <w:rPr>
          <w:rFonts w:eastAsiaTheme="majorEastAsia" w:cstheme="minorHAnsi"/>
          <w:color w:val="2E74B5" w:themeColor="accent1" w:themeShade="BF"/>
          <w:sz w:val="26"/>
          <w:szCs w:val="26"/>
        </w:rPr>
        <w:tab/>
      </w:r>
      <w:r w:rsidR="00454AE0">
        <w:rPr>
          <w:rFonts w:eastAsiaTheme="majorEastAsia" w:cstheme="minorHAnsi"/>
          <w:color w:val="2E74B5" w:themeColor="accent1" w:themeShade="BF"/>
          <w:sz w:val="26"/>
          <w:szCs w:val="26"/>
        </w:rPr>
        <w:tab/>
      </w:r>
      <w:r w:rsidR="00454AE0">
        <w:rPr>
          <w:rFonts w:eastAsiaTheme="majorEastAsia" w:cstheme="minorHAnsi"/>
          <w:color w:val="2E74B5" w:themeColor="accent1" w:themeShade="BF"/>
          <w:sz w:val="26"/>
          <w:szCs w:val="26"/>
        </w:rPr>
        <w:tab/>
      </w:r>
      <w:bookmarkStart w:id="0" w:name="_GoBack"/>
      <w:bookmarkEnd w:id="0"/>
    </w:p>
    <w:p w14:paraId="0252B23E" w14:textId="7F882937" w:rsidR="00056C4F" w:rsidRPr="00B70325" w:rsidRDefault="5903ABC0" w:rsidP="5903ABC0">
      <w:pPr>
        <w:spacing w:after="0" w:line="276" w:lineRule="auto"/>
        <w:rPr>
          <w:b/>
          <w:bCs/>
          <w:sz w:val="23"/>
          <w:szCs w:val="23"/>
        </w:rPr>
      </w:pPr>
      <w:r w:rsidRPr="5903ABC0">
        <w:rPr>
          <w:b/>
          <w:bCs/>
          <w:sz w:val="23"/>
          <w:szCs w:val="23"/>
        </w:rPr>
        <w:t xml:space="preserve">Tavoite: </w:t>
      </w:r>
    </w:p>
    <w:p w14:paraId="56E4C833" w14:textId="77777777" w:rsidR="005D548E" w:rsidRPr="00813F48" w:rsidRDefault="5903ABC0" w:rsidP="5903ABC0">
      <w:pPr>
        <w:pStyle w:val="Luettelokappale"/>
        <w:numPr>
          <w:ilvl w:val="0"/>
          <w:numId w:val="5"/>
        </w:numPr>
        <w:spacing w:after="0" w:line="240" w:lineRule="auto"/>
        <w:rPr>
          <w:sz w:val="23"/>
          <w:szCs w:val="23"/>
        </w:rPr>
      </w:pPr>
      <w:r w:rsidRPr="5903ABC0">
        <w:rPr>
          <w:sz w:val="23"/>
          <w:szCs w:val="23"/>
        </w:rPr>
        <w:t>Suomen rakennuskanta on hiilineutraali vuonna 2035.</w:t>
      </w:r>
    </w:p>
    <w:p w14:paraId="693E9931" w14:textId="09704DED" w:rsidR="006C6406" w:rsidRDefault="2EC71D0B" w:rsidP="2EC71D0B">
      <w:pPr>
        <w:pStyle w:val="Luettelokappale"/>
        <w:numPr>
          <w:ilvl w:val="0"/>
          <w:numId w:val="5"/>
        </w:numPr>
        <w:spacing w:after="0" w:line="276" w:lineRule="auto"/>
        <w:rPr>
          <w:sz w:val="23"/>
          <w:szCs w:val="23"/>
        </w:rPr>
      </w:pPr>
      <w:r w:rsidRPr="2EC71D0B">
        <w:rPr>
          <w:sz w:val="23"/>
          <w:szCs w:val="23"/>
        </w:rPr>
        <w:t>Valmistellaan rakentamislain mukaiset vihreän siirtymän asetustason säädökset.</w:t>
      </w:r>
    </w:p>
    <w:p w14:paraId="346A3FC9" w14:textId="4DA18CB3" w:rsidR="006C6406" w:rsidRDefault="2EC71D0B" w:rsidP="2EC71D0B">
      <w:pPr>
        <w:pStyle w:val="Luettelokappale"/>
        <w:numPr>
          <w:ilvl w:val="0"/>
          <w:numId w:val="5"/>
        </w:numPr>
        <w:spacing w:after="0" w:line="276" w:lineRule="auto"/>
        <w:rPr>
          <w:sz w:val="23"/>
          <w:szCs w:val="23"/>
        </w:rPr>
      </w:pPr>
      <w:r w:rsidRPr="2EC71D0B">
        <w:rPr>
          <w:sz w:val="23"/>
          <w:szCs w:val="23"/>
        </w:rPr>
        <w:t>Edistetään rakentamisen vähähiilisyyttä ja kiertotaloutta EU:ssa (CPR, Ecodesign).</w:t>
      </w:r>
    </w:p>
    <w:p w14:paraId="76DE2E0F" w14:textId="32AA3D31" w:rsidR="006C6406" w:rsidRDefault="5903ABC0" w:rsidP="5903ABC0">
      <w:pPr>
        <w:pStyle w:val="Luettelokappale"/>
        <w:numPr>
          <w:ilvl w:val="0"/>
          <w:numId w:val="5"/>
        </w:numPr>
        <w:spacing w:after="0" w:line="276" w:lineRule="auto"/>
        <w:rPr>
          <w:sz w:val="23"/>
          <w:szCs w:val="23"/>
        </w:rPr>
      </w:pPr>
      <w:r w:rsidRPr="5903ABC0">
        <w:rPr>
          <w:sz w:val="23"/>
          <w:szCs w:val="23"/>
        </w:rPr>
        <w:t>Rakentamislain toimeenpanoon liittyvien tietojärjestelmien, digitalisaation ja viranomaisresurssien varmistaminen</w:t>
      </w:r>
    </w:p>
    <w:p w14:paraId="47FA56E5" w14:textId="35C27ED5" w:rsidR="00D7033D" w:rsidRDefault="5903ABC0" w:rsidP="5903ABC0">
      <w:pPr>
        <w:pStyle w:val="Luettelokappale"/>
        <w:numPr>
          <w:ilvl w:val="0"/>
          <w:numId w:val="5"/>
        </w:numPr>
        <w:rPr>
          <w:sz w:val="23"/>
          <w:szCs w:val="23"/>
        </w:rPr>
      </w:pPr>
      <w:r w:rsidRPr="5903ABC0">
        <w:rPr>
          <w:sz w:val="23"/>
          <w:szCs w:val="23"/>
        </w:rPr>
        <w:t>Rakennetun ympäristön ja sen rakennuskannan ilmastovaikutuksien vähentäminen ja muutoksiin sopeutuminen</w:t>
      </w:r>
    </w:p>
    <w:p w14:paraId="018881E4" w14:textId="26B4712A" w:rsidR="00454AE0" w:rsidRDefault="5903ABC0" w:rsidP="5903ABC0">
      <w:pPr>
        <w:pStyle w:val="Luettelokappale"/>
        <w:numPr>
          <w:ilvl w:val="0"/>
          <w:numId w:val="5"/>
        </w:numPr>
        <w:rPr>
          <w:sz w:val="23"/>
          <w:szCs w:val="23"/>
        </w:rPr>
      </w:pPr>
      <w:r w:rsidRPr="5903ABC0">
        <w:rPr>
          <w:sz w:val="23"/>
          <w:szCs w:val="23"/>
        </w:rPr>
        <w:t>Arvioidaan rakentamisen toimintaa tukevaa virastorakennetta.</w:t>
      </w:r>
    </w:p>
    <w:p w14:paraId="4A6670FE" w14:textId="2294506B" w:rsidR="00056C4F" w:rsidRPr="00B70325" w:rsidRDefault="00056C4F" w:rsidP="00E85E59">
      <w:pPr>
        <w:spacing w:after="0" w:line="276" w:lineRule="auto"/>
        <w:rPr>
          <w:rFonts w:cstheme="minorHAnsi"/>
          <w:sz w:val="23"/>
          <w:szCs w:val="23"/>
        </w:rPr>
      </w:pPr>
    </w:p>
    <w:p w14:paraId="1020C9F6" w14:textId="37912B09" w:rsidR="00056C4F" w:rsidRPr="00B70325" w:rsidRDefault="5903ABC0" w:rsidP="5903ABC0">
      <w:pPr>
        <w:spacing w:after="0" w:line="276" w:lineRule="auto"/>
        <w:rPr>
          <w:b/>
          <w:bCs/>
          <w:sz w:val="23"/>
          <w:szCs w:val="23"/>
        </w:rPr>
      </w:pPr>
      <w:r w:rsidRPr="5903ABC0">
        <w:rPr>
          <w:b/>
          <w:bCs/>
          <w:sz w:val="23"/>
          <w:szCs w:val="23"/>
        </w:rPr>
        <w:t>Tausta:</w:t>
      </w:r>
    </w:p>
    <w:p w14:paraId="77F4199E" w14:textId="7443B072" w:rsidR="00056C4F" w:rsidRPr="006D4ADC" w:rsidRDefault="5903ABC0" w:rsidP="5903ABC0">
      <w:pPr>
        <w:pStyle w:val="Luettelokappale"/>
        <w:numPr>
          <w:ilvl w:val="0"/>
          <w:numId w:val="6"/>
        </w:numPr>
        <w:spacing w:after="0" w:line="276" w:lineRule="auto"/>
        <w:rPr>
          <w:sz w:val="23"/>
          <w:szCs w:val="23"/>
        </w:rPr>
      </w:pPr>
      <w:r w:rsidRPr="5903ABC0">
        <w:rPr>
          <w:sz w:val="23"/>
          <w:szCs w:val="23"/>
        </w:rPr>
        <w:t>Eduskunta on hyväksynyt uuden rakentamislain. Rakentamislailla parannetaan sääntelyn vaikuttavuutta erityisesti ilmastonmuutoksen hillitsemiseksi ja siihen sopeutumiseksi, kiertotalouden edistämiseksi sekä rakentamisen päätösten ja tietosisällön valtakunnallisen digitaalisuuden mahdollistamiseksi.</w:t>
      </w:r>
    </w:p>
    <w:p w14:paraId="10EF28D1" w14:textId="77777777" w:rsidR="005F0E85" w:rsidRPr="00454AAE" w:rsidRDefault="5903ABC0" w:rsidP="5903ABC0">
      <w:pPr>
        <w:pStyle w:val="Luettelokappale"/>
        <w:numPr>
          <w:ilvl w:val="0"/>
          <w:numId w:val="6"/>
        </w:numPr>
        <w:spacing w:after="0"/>
        <w:rPr>
          <w:rFonts w:eastAsia="Times New Roman"/>
          <w:sz w:val="23"/>
          <w:szCs w:val="23"/>
          <w:lang w:eastAsia="fi-FI"/>
        </w:rPr>
      </w:pPr>
      <w:r w:rsidRPr="5903ABC0">
        <w:rPr>
          <w:rFonts w:eastAsia="Times New Roman"/>
          <w:sz w:val="23"/>
          <w:szCs w:val="23"/>
          <w:lang w:eastAsia="fi-FI"/>
        </w:rPr>
        <w:t>Rakentamisessa käytetään 50 % luonnonvaroista, rakennuksissa ja rakentamisessa käytetään 40 % energiasta ja kasvihuonepäästöistä sektorilla aiheutuu noin 35 %. Ilmastonmuutoksen hillintää ei voida globaalisti ratkaista ilman rakennetun ympäristön koko elinkaaren aikana tehtäviä toimia, joihin kuuluvat rakennusten ja rakenteiden suunnittelu vähähiilisiksi ja kiertotalouteen soveltuviksi, pitkäikäisyyttä ja muuntojoustavuutta, helppoa huollettavuutta ja korjattavuutta, rakennusosien uudelleenkäyttöä ja materiaalien kierrättämistä sekä näitä tukevaa hankintaosaamista ja rahoitusta.</w:t>
      </w:r>
    </w:p>
    <w:p w14:paraId="37AD9403" w14:textId="095D3CCB" w:rsidR="005F0E85" w:rsidRPr="00454AAE" w:rsidRDefault="2EC71D0B" w:rsidP="2EC71D0B">
      <w:pPr>
        <w:pStyle w:val="Luettelokappale"/>
        <w:numPr>
          <w:ilvl w:val="0"/>
          <w:numId w:val="6"/>
        </w:numPr>
        <w:rPr>
          <w:sz w:val="23"/>
          <w:szCs w:val="23"/>
        </w:rPr>
      </w:pPr>
      <w:r w:rsidRPr="2EC71D0B">
        <w:rPr>
          <w:sz w:val="23"/>
          <w:szCs w:val="23"/>
        </w:rPr>
        <w:t>Suomi on aktiivisesti vaikuttanut EU rakentamisen sisämarkkinasäädöksiin kiertotalouden ja vähähiilisyyden edistämiseksi. Rakennustuoteasetuksen uudistamisessa on tärkeä ratkaista rakennustuotteiden uudelleenkäyttöä liittyviä ongelmia sekä edistää hiilijalanjäljen ilmoittamista tulevissa suoritustasoilmoituksissa. Rakennustuoteasetuksen uudistus on käynnissä seuraavalla hallituskaudella.</w:t>
      </w:r>
    </w:p>
    <w:p w14:paraId="4420BB21" w14:textId="77777777" w:rsidR="005F0E85" w:rsidRPr="00454AAE" w:rsidRDefault="2EC71D0B" w:rsidP="2EC71D0B">
      <w:pPr>
        <w:pStyle w:val="Luettelokappale"/>
        <w:numPr>
          <w:ilvl w:val="0"/>
          <w:numId w:val="6"/>
        </w:numPr>
        <w:spacing w:after="0"/>
        <w:rPr>
          <w:rFonts w:eastAsia="Times New Roman"/>
          <w:sz w:val="23"/>
          <w:szCs w:val="23"/>
          <w:lang w:eastAsia="fi-FI"/>
        </w:rPr>
      </w:pPr>
      <w:r w:rsidRPr="2EC71D0B">
        <w:rPr>
          <w:rFonts w:eastAsia="Times New Roman"/>
          <w:sz w:val="23"/>
          <w:szCs w:val="23"/>
          <w:lang w:eastAsia="fi-FI"/>
        </w:rPr>
        <w:t>Kiertotalouden strategiseen ohjelmaan sisältyy myös rakentamisen kiertotaloutta koskevia toimenpiteitä, mm. kiertotalouden Green deal. Ekosuunnitteludirektiivin soveltamisalan laajentaminen kaikkiin tuoteryhmiin on EU:ssa valmistelussa. Tavoitteena on painottaa energiatehokkuuden lisäksi kestävyyttä, korjattavuutta, uudelleenkäyttöä ja kierrätettävyyttä sekä kierrätysmateriaalien osuutta uusissa tuotteissa. Ekosuunnitteludirektiivin vaikuttavuutta tehostetaan ja riittävän valvonnan resurssit turvataan, jotta kilpailutilanne olisi tasapuolinen mm. tuottajavastuu kustannuksineen koskisi tasapuolisesti myös kolmansien maiden toimijoita.</w:t>
      </w:r>
    </w:p>
    <w:p w14:paraId="36B7C9F7" w14:textId="77777777" w:rsidR="005F0E85" w:rsidRPr="00454AAE" w:rsidRDefault="5903ABC0" w:rsidP="5903ABC0">
      <w:pPr>
        <w:pStyle w:val="Luettelokappale"/>
        <w:numPr>
          <w:ilvl w:val="0"/>
          <w:numId w:val="6"/>
        </w:numPr>
        <w:spacing w:after="0"/>
        <w:rPr>
          <w:rFonts w:eastAsia="Times New Roman"/>
          <w:sz w:val="23"/>
          <w:szCs w:val="23"/>
          <w:lang w:eastAsia="fi-FI"/>
        </w:rPr>
      </w:pPr>
      <w:r w:rsidRPr="5903ABC0">
        <w:rPr>
          <w:sz w:val="23"/>
          <w:szCs w:val="23"/>
        </w:rPr>
        <w:t xml:space="preserve">Valtakunnallisen jätesuunnitelman (2018) rakentamista koskevia toimenpiteitä on päivitetty, täsmennetty ja tarkennettu 2022. Toimenpiteiden painopiste on rakennus- ja purkujätteen hyödyntämisessä. </w:t>
      </w:r>
    </w:p>
    <w:p w14:paraId="441EB46D" w14:textId="77777777" w:rsidR="005D548E" w:rsidRPr="00813F48" w:rsidRDefault="5903ABC0" w:rsidP="5903ABC0">
      <w:pPr>
        <w:pStyle w:val="Luettelokappale"/>
        <w:numPr>
          <w:ilvl w:val="0"/>
          <w:numId w:val="6"/>
        </w:numPr>
        <w:spacing w:after="0" w:line="240" w:lineRule="auto"/>
        <w:rPr>
          <w:sz w:val="23"/>
          <w:szCs w:val="23"/>
        </w:rPr>
      </w:pPr>
      <w:r w:rsidRPr="5903ABC0">
        <w:rPr>
          <w:sz w:val="23"/>
          <w:szCs w:val="23"/>
        </w:rPr>
        <w:lastRenderedPageBreak/>
        <w:t xml:space="preserve">Voimassa olevan rakennusten energiatehokkuusdirektiivin (2010/31/EU) ja sen muutoksen (2018/844/EU) toimeenpano edellyttävät rakennusten energiatehokkuuden sääntelyä ja sen jatkuvaa parantamista, raportointia rakentamisen energiatehokkuuteen kohdistuvan sääntelyn vaikutuksista ja sääntelyn vaihtoehtona olevien toimenpiteiden vaikutuksista sekä rakennuskannan energiatehokkuuden kehittymisestä. Direktiivin toimeenpanoon liittyviä toimia tullaan edelleen toteuttamaan tulevalla hallituskaudella. </w:t>
      </w:r>
    </w:p>
    <w:p w14:paraId="68FC86B2" w14:textId="77777777" w:rsidR="005D548E" w:rsidRPr="00813F48" w:rsidRDefault="2EC71D0B" w:rsidP="2EC71D0B">
      <w:pPr>
        <w:pStyle w:val="Luettelokappale"/>
        <w:numPr>
          <w:ilvl w:val="0"/>
          <w:numId w:val="6"/>
        </w:numPr>
        <w:spacing w:after="0" w:line="240" w:lineRule="auto"/>
        <w:rPr>
          <w:sz w:val="23"/>
          <w:szCs w:val="23"/>
        </w:rPr>
      </w:pPr>
      <w:r w:rsidRPr="2EC71D0B">
        <w:rPr>
          <w:sz w:val="23"/>
          <w:szCs w:val="23"/>
        </w:rPr>
        <w:t xml:space="preserve">Rakennusten energiatehokkuusdirektiivin uudelleen laadintaa koskeva komission ehdotus on neuvoteltavana Euroopan parlamentissa ja neuvostossa. Direktiivin arvioidaan tulevan voimaan vuoden 2023 aikana. Uusi direktiivi tulee edellyttämään laajaa lainsäädännön ja muiden ohjauskeinojen valmistelua ja toimeenpanoa. </w:t>
      </w:r>
    </w:p>
    <w:p w14:paraId="412A5AEE" w14:textId="043F4A94" w:rsidR="005F0E85" w:rsidRDefault="5903ABC0" w:rsidP="5903ABC0">
      <w:pPr>
        <w:pStyle w:val="Luettelokappale"/>
        <w:numPr>
          <w:ilvl w:val="0"/>
          <w:numId w:val="6"/>
        </w:numPr>
        <w:spacing w:after="0" w:line="240" w:lineRule="auto"/>
        <w:rPr>
          <w:sz w:val="23"/>
          <w:szCs w:val="23"/>
        </w:rPr>
      </w:pPr>
      <w:r w:rsidRPr="5903ABC0">
        <w:rPr>
          <w:sz w:val="23"/>
          <w:szCs w:val="23"/>
        </w:rPr>
        <w:t>Pitkän aikavälin peruskorjausstrategiaa 2020–2050 tukevan tiekartan ja vuosien 2020–2030 toimenpideohjelman mukaisia toimia toteutetaan edelleen tulevan hallituskauden aikana. Neuvoteltavana olevan direktiiviehdotuksen mukaan jäsenvaltioiden on laadittava ”Kansallinen perusparannussuunnitelma”, joka korvaisi aiemman peruskorjausstrategian ja toisi edelleen lisävaatimuksia suunnitelman velvoittavuudelle, sisällölle ja vaikuttavuudelle.  Luonnos suunnitelmasta tulisi olla valmiina ja toimitettuna komissiolle kommentointia varten kesällä 2025 ja lopullinen suunnitelma kesällä 2026 tämänhetkisen aikatauluarvion mukaan.</w:t>
      </w:r>
    </w:p>
    <w:p w14:paraId="0B1CB65B" w14:textId="423D8126" w:rsidR="00BF53DC" w:rsidRPr="00C970C4" w:rsidRDefault="2EC71D0B" w:rsidP="2EC71D0B">
      <w:pPr>
        <w:pStyle w:val="Luettelokappale"/>
        <w:numPr>
          <w:ilvl w:val="0"/>
          <w:numId w:val="6"/>
        </w:numPr>
        <w:spacing w:after="0" w:line="240" w:lineRule="auto"/>
        <w:rPr>
          <w:sz w:val="23"/>
          <w:szCs w:val="23"/>
        </w:rPr>
      </w:pPr>
      <w:r w:rsidRPr="2EC71D0B">
        <w:rPr>
          <w:sz w:val="23"/>
          <w:szCs w:val="23"/>
        </w:rPr>
        <w:t>Suomessa ei ole rakentamisen alaishallintoa, toisin kuin esimerkiksi muilla hallinnonaloilla on väylävirasto, enrgiavirasto jne. Organisatorisesti kaiken tekeminen ministeriön tasolla ei ole resurssienkäytön kannalta tehokkainta.</w:t>
      </w:r>
    </w:p>
    <w:p w14:paraId="2B5580CA" w14:textId="1980326D" w:rsidR="00056C4F" w:rsidRPr="00B70325" w:rsidRDefault="00056C4F" w:rsidP="00E85E59">
      <w:pPr>
        <w:spacing w:after="0" w:line="276" w:lineRule="auto"/>
        <w:rPr>
          <w:rFonts w:cstheme="minorHAnsi"/>
          <w:sz w:val="23"/>
          <w:szCs w:val="23"/>
        </w:rPr>
      </w:pPr>
    </w:p>
    <w:p w14:paraId="407E5DEE" w14:textId="05E41AE0" w:rsidR="00631246" w:rsidRPr="00B70325" w:rsidRDefault="5903ABC0" w:rsidP="5903ABC0">
      <w:pPr>
        <w:spacing w:after="0" w:line="276" w:lineRule="auto"/>
        <w:rPr>
          <w:sz w:val="23"/>
          <w:szCs w:val="23"/>
        </w:rPr>
      </w:pPr>
      <w:r w:rsidRPr="5903ABC0">
        <w:rPr>
          <w:b/>
          <w:bCs/>
          <w:sz w:val="23"/>
          <w:szCs w:val="23"/>
        </w:rPr>
        <w:t>Toimenpide-ehdotukset:</w:t>
      </w:r>
    </w:p>
    <w:p w14:paraId="45AFBE7B" w14:textId="60DABD0F" w:rsidR="00C9204E" w:rsidRPr="00B70325" w:rsidRDefault="5903ABC0" w:rsidP="5903ABC0">
      <w:pPr>
        <w:pStyle w:val="Luettelokappale"/>
        <w:numPr>
          <w:ilvl w:val="0"/>
          <w:numId w:val="7"/>
        </w:numPr>
        <w:spacing w:after="0" w:line="276" w:lineRule="auto"/>
        <w:rPr>
          <w:sz w:val="23"/>
          <w:szCs w:val="23"/>
        </w:rPr>
      </w:pPr>
      <w:r w:rsidRPr="5903ABC0">
        <w:rPr>
          <w:sz w:val="23"/>
          <w:szCs w:val="23"/>
        </w:rPr>
        <w:t>Valmistellaan rakentamislain nojalla annettavia asetuksia sekä soveltamisen tueksi tarvittavaa ohjeistusta. Asetukset koskevat muun muassa rakennuksen ilmastoselvitystä, materiaaliselostetta, hiilijalanjäljen raja-arvoja, purkumateriaali- ja rakennusjäteselvitystä, rakennuksen elinkaariominaisuuksia ja tietomalleja.</w:t>
      </w:r>
    </w:p>
    <w:p w14:paraId="323B589B" w14:textId="47FE9917" w:rsidR="00631246" w:rsidRPr="00B70325" w:rsidRDefault="5903ABC0" w:rsidP="5903ABC0">
      <w:pPr>
        <w:pStyle w:val="Luettelokappale"/>
        <w:numPr>
          <w:ilvl w:val="0"/>
          <w:numId w:val="7"/>
        </w:numPr>
        <w:spacing w:after="0" w:line="276" w:lineRule="auto"/>
        <w:rPr>
          <w:sz w:val="23"/>
          <w:szCs w:val="23"/>
        </w:rPr>
      </w:pPr>
      <w:r w:rsidRPr="5903ABC0">
        <w:rPr>
          <w:sz w:val="23"/>
          <w:szCs w:val="23"/>
        </w:rPr>
        <w:t>Kehitetään pätevyyksiin liittyvää järjestelmää säätämällä mm. pätevyysvaatimukset maisemarakentamisen suunnittelijoille.</w:t>
      </w:r>
    </w:p>
    <w:p w14:paraId="41767309" w14:textId="68D1355A" w:rsidR="0C96862F" w:rsidRPr="00335BDA" w:rsidRDefault="2EC71D0B" w:rsidP="2EC71D0B">
      <w:pPr>
        <w:pStyle w:val="Luettelokappale"/>
        <w:numPr>
          <w:ilvl w:val="0"/>
          <w:numId w:val="4"/>
        </w:numPr>
        <w:spacing w:after="0" w:line="276" w:lineRule="auto"/>
        <w:rPr>
          <w:sz w:val="23"/>
          <w:szCs w:val="23"/>
        </w:rPr>
      </w:pPr>
      <w:r w:rsidRPr="2EC71D0B">
        <w:rPr>
          <w:sz w:val="23"/>
          <w:szCs w:val="23"/>
        </w:rPr>
        <w:t>Valmistellaan rakentamislain jälkiseuranta ja siihen liittyen valmistellaan rakennetun ympäristön päästöseurantajärjestelmää sekä purkumateriaali- ja rakennusjätetietojärjestelmää.</w:t>
      </w:r>
    </w:p>
    <w:p w14:paraId="17E91277" w14:textId="11717397" w:rsidR="005F0E85" w:rsidRDefault="5903ABC0" w:rsidP="5903ABC0">
      <w:pPr>
        <w:pStyle w:val="Luettelokappale"/>
        <w:numPr>
          <w:ilvl w:val="0"/>
          <w:numId w:val="4"/>
        </w:numPr>
        <w:spacing w:after="0"/>
        <w:rPr>
          <w:sz w:val="23"/>
          <w:szCs w:val="23"/>
        </w:rPr>
      </w:pPr>
      <w:r w:rsidRPr="5903ABC0">
        <w:rPr>
          <w:sz w:val="23"/>
          <w:szCs w:val="23"/>
        </w:rPr>
        <w:t>Jatketaan EU sisämarkkinasäädöksiin vaikuttamista rakennustuotteiden kiertotalouden mahdollistamiseksi.</w:t>
      </w:r>
    </w:p>
    <w:p w14:paraId="1DAE459A" w14:textId="77777777" w:rsidR="005D548E" w:rsidRPr="00813F48" w:rsidRDefault="5903ABC0" w:rsidP="5903ABC0">
      <w:pPr>
        <w:pStyle w:val="Luettelokappale"/>
        <w:numPr>
          <w:ilvl w:val="0"/>
          <w:numId w:val="4"/>
        </w:numPr>
        <w:spacing w:after="0" w:line="240" w:lineRule="auto"/>
        <w:rPr>
          <w:sz w:val="23"/>
          <w:szCs w:val="23"/>
        </w:rPr>
      </w:pPr>
      <w:r w:rsidRPr="5903ABC0">
        <w:rPr>
          <w:sz w:val="23"/>
          <w:szCs w:val="23"/>
        </w:rPr>
        <w:t xml:space="preserve">EU:n rakennusten energiatehokkuuden parantamista koskevat lainsäädäntötoimet toimeenpannaan tehokkaasti Suomen oloihin ja rakennuskantaan sekä korjausrakentamiseen soveltuvasti, huomioon ottaen vihreän siirtymän vauhdittaminen ja vaikutukset ympäristöön ja luontoon. </w:t>
      </w:r>
    </w:p>
    <w:p w14:paraId="03CB65B4" w14:textId="41B0D3ED" w:rsidR="005D548E" w:rsidRPr="00454AAE" w:rsidRDefault="2EC71D0B" w:rsidP="2EC71D0B">
      <w:pPr>
        <w:pStyle w:val="Luettelokappale"/>
        <w:numPr>
          <w:ilvl w:val="0"/>
          <w:numId w:val="4"/>
        </w:numPr>
        <w:spacing w:after="0"/>
        <w:rPr>
          <w:sz w:val="23"/>
          <w:szCs w:val="23"/>
        </w:rPr>
      </w:pPr>
      <w:r w:rsidRPr="2EC71D0B">
        <w:rPr>
          <w:sz w:val="23"/>
          <w:szCs w:val="23"/>
        </w:rPr>
        <w:t>Hiilineutraalisuustavoitteen toteuttamiseksi annetaan rakennusten energiatehokkuusinvestointeihin taloudellisia kannustimia, joiden tulee olla pitkäjänteisiä, ennakoitavia ja kohdennettuja sekä joiden tulee johtaa säädöksiä parempaan energiatehokkuustasoon, huolelliseen suunnitteluun ja toteutukseen sekä korjaustoimenpiteiden oikea-aikaisuuteen.</w:t>
      </w:r>
    </w:p>
    <w:p w14:paraId="78ACCAB2" w14:textId="4C905709" w:rsidR="005F0E85" w:rsidRDefault="2EC71D0B" w:rsidP="2EC71D0B">
      <w:pPr>
        <w:pStyle w:val="Luettelokappale"/>
        <w:numPr>
          <w:ilvl w:val="0"/>
          <w:numId w:val="4"/>
        </w:numPr>
        <w:spacing w:after="0" w:line="240" w:lineRule="auto"/>
        <w:rPr>
          <w:sz w:val="23"/>
          <w:szCs w:val="23"/>
        </w:rPr>
      </w:pPr>
      <w:r w:rsidRPr="2EC71D0B">
        <w:rPr>
          <w:sz w:val="23"/>
          <w:szCs w:val="23"/>
        </w:rPr>
        <w:lastRenderedPageBreak/>
        <w:t xml:space="preserve">Käynnistetään sisäilmasto- ja ilmanvaihtomääräysten ajantasaistaminen vaatimustason osalta siten, että määräykset kattavat myös jäähdytysjärjestelmä-, auringonsuojaus- ja päivänvalovaatimukset.  </w:t>
      </w:r>
    </w:p>
    <w:p w14:paraId="5867D201" w14:textId="119B46E2" w:rsidR="00BF53DC" w:rsidRPr="00BF53DC" w:rsidRDefault="5903ABC0" w:rsidP="5903ABC0">
      <w:pPr>
        <w:pStyle w:val="Luettelokappale"/>
        <w:numPr>
          <w:ilvl w:val="0"/>
          <w:numId w:val="4"/>
        </w:numPr>
        <w:spacing w:after="0" w:line="240" w:lineRule="auto"/>
        <w:rPr>
          <w:sz w:val="23"/>
          <w:szCs w:val="23"/>
        </w:rPr>
      </w:pPr>
      <w:r w:rsidRPr="5903ABC0">
        <w:rPr>
          <w:sz w:val="23"/>
          <w:szCs w:val="23"/>
        </w:rPr>
        <w:t>Arvioidaan, mitä rakentamisen ohjausta ja ilmastonmuutoksen torjuntaa koskevia esimerkiksi neuvontaan, seurantaan ja raportointiin liittyviä käytännön toimintoja olisi tehokkaampaa organisoida ympäristöministeriön alaisen viraston tehtäväksi.</w:t>
      </w:r>
    </w:p>
    <w:p w14:paraId="72C15803" w14:textId="06019B78" w:rsidR="00631246" w:rsidRPr="00B70325" w:rsidRDefault="00631246" w:rsidP="00E85E59">
      <w:pPr>
        <w:spacing w:after="0" w:line="276" w:lineRule="auto"/>
        <w:rPr>
          <w:rFonts w:cstheme="minorHAnsi"/>
          <w:sz w:val="23"/>
          <w:szCs w:val="23"/>
        </w:rPr>
      </w:pPr>
    </w:p>
    <w:p w14:paraId="772E1670" w14:textId="2C8E5C64" w:rsidR="00E85E59" w:rsidRPr="00B70325" w:rsidRDefault="2EC71D0B" w:rsidP="2EC71D0B">
      <w:pPr>
        <w:spacing w:after="0" w:line="276" w:lineRule="auto"/>
        <w:rPr>
          <w:sz w:val="23"/>
          <w:szCs w:val="23"/>
        </w:rPr>
      </w:pPr>
      <w:r w:rsidRPr="2EC71D0B">
        <w:rPr>
          <w:b/>
          <w:bCs/>
          <w:sz w:val="23"/>
          <w:szCs w:val="23"/>
        </w:rPr>
        <w:t>Resurssitarpeet:</w:t>
      </w:r>
    </w:p>
    <w:p w14:paraId="69AE3870" w14:textId="54E9FCD5" w:rsidR="00631246" w:rsidRPr="00B70325" w:rsidRDefault="2EC71D0B" w:rsidP="2EC71D0B">
      <w:pPr>
        <w:pStyle w:val="Luettelokappale"/>
        <w:numPr>
          <w:ilvl w:val="0"/>
          <w:numId w:val="8"/>
        </w:numPr>
        <w:spacing w:after="0" w:line="276" w:lineRule="auto"/>
        <w:rPr>
          <w:sz w:val="23"/>
          <w:szCs w:val="23"/>
        </w:rPr>
      </w:pPr>
      <w:r w:rsidRPr="2EC71D0B">
        <w:rPr>
          <w:sz w:val="23"/>
          <w:szCs w:val="23"/>
        </w:rPr>
        <w:t>Uuden rakentamislain toimeenpanossa on erityisesti varauduttava toimeenpanosta aiheutuviin tarpeisiin, jotka liittyvät uusien säädöksien ja ohjeistusten valmistelun resursointiin.</w:t>
      </w:r>
    </w:p>
    <w:p w14:paraId="6A63F677" w14:textId="0AE854F8" w:rsidR="00056C4F" w:rsidRPr="00B70325" w:rsidRDefault="2EC71D0B" w:rsidP="2EC71D0B">
      <w:pPr>
        <w:pStyle w:val="Luettelokappale"/>
        <w:numPr>
          <w:ilvl w:val="0"/>
          <w:numId w:val="8"/>
        </w:numPr>
        <w:spacing w:after="0" w:line="276" w:lineRule="auto"/>
        <w:rPr>
          <w:sz w:val="23"/>
          <w:szCs w:val="23"/>
        </w:rPr>
      </w:pPr>
      <w:r w:rsidRPr="2EC71D0B">
        <w:rPr>
          <w:sz w:val="23"/>
          <w:szCs w:val="23"/>
        </w:rPr>
        <w:t xml:space="preserve">On varauduttava rakentamislain toimivan siirtymän toteuttamiseksi tarvittavasta koulutuksesta, neuvonnasta ja ohjeistuksesta. </w:t>
      </w:r>
    </w:p>
    <w:p w14:paraId="55474BB0" w14:textId="390D6EA1" w:rsidR="00B70325" w:rsidRPr="00B70325" w:rsidRDefault="2EC71D0B" w:rsidP="2EC71D0B">
      <w:pPr>
        <w:pStyle w:val="Luettelokappale"/>
        <w:numPr>
          <w:ilvl w:val="0"/>
          <w:numId w:val="8"/>
        </w:numPr>
        <w:spacing w:after="0" w:line="276" w:lineRule="auto"/>
        <w:rPr>
          <w:sz w:val="23"/>
          <w:szCs w:val="23"/>
        </w:rPr>
      </w:pPr>
      <w:r w:rsidRPr="2EC71D0B">
        <w:rPr>
          <w:sz w:val="23"/>
          <w:szCs w:val="23"/>
        </w:rPr>
        <w:t>On varauduttava rakentamislain toimivasta jälkiseurannasta aiheutuviin resurssitarpeisiin.</w:t>
      </w:r>
    </w:p>
    <w:p w14:paraId="21172DE8" w14:textId="1A81E51D" w:rsidR="00B70325" w:rsidRPr="00B70325" w:rsidRDefault="2EC71D0B" w:rsidP="2EC71D0B">
      <w:pPr>
        <w:pStyle w:val="Luettelokappale"/>
        <w:numPr>
          <w:ilvl w:val="0"/>
          <w:numId w:val="8"/>
        </w:numPr>
        <w:spacing w:after="0" w:line="276" w:lineRule="auto"/>
        <w:rPr>
          <w:sz w:val="23"/>
          <w:szCs w:val="23"/>
        </w:rPr>
      </w:pPr>
      <w:r w:rsidRPr="2EC71D0B">
        <w:rPr>
          <w:sz w:val="23"/>
          <w:szCs w:val="23"/>
        </w:rPr>
        <w:t>On varmistettava erinäisiin tietojärjestelmiin, kuten päästötietokantaan ja purkumateriaalijärjestelmään liittyvä rahoitus sekä varmistettava uusien viranomaistehtävien rahoitus.</w:t>
      </w:r>
    </w:p>
    <w:p w14:paraId="772E1672" w14:textId="686DCAA6" w:rsidR="009A49CF" w:rsidRDefault="2EC71D0B" w:rsidP="2EC71D0B">
      <w:pPr>
        <w:pStyle w:val="Luettelokappale"/>
        <w:numPr>
          <w:ilvl w:val="0"/>
          <w:numId w:val="8"/>
        </w:numPr>
        <w:spacing w:after="0" w:line="276" w:lineRule="auto"/>
        <w:rPr>
          <w:sz w:val="23"/>
          <w:szCs w:val="23"/>
        </w:rPr>
      </w:pPr>
      <w:r w:rsidRPr="2EC71D0B">
        <w:rPr>
          <w:sz w:val="23"/>
          <w:szCs w:val="23"/>
        </w:rPr>
        <w:t xml:space="preserve">Rakennetun ympäristön digitalisointi edellyttää sekä valtiolta että kunnilta merkittäviä määrärahoja. </w:t>
      </w:r>
    </w:p>
    <w:p w14:paraId="4E09B952" w14:textId="77777777" w:rsidR="008F5360" w:rsidRPr="00813F48" w:rsidRDefault="2EC71D0B" w:rsidP="2EC71D0B">
      <w:pPr>
        <w:pStyle w:val="Luettelokappale"/>
        <w:numPr>
          <w:ilvl w:val="0"/>
          <w:numId w:val="8"/>
        </w:numPr>
        <w:spacing w:after="0" w:line="240" w:lineRule="auto"/>
        <w:rPr>
          <w:sz w:val="23"/>
          <w:szCs w:val="23"/>
        </w:rPr>
      </w:pPr>
      <w:r w:rsidRPr="2EC71D0B">
        <w:rPr>
          <w:sz w:val="23"/>
          <w:szCs w:val="23"/>
        </w:rPr>
        <w:t>Energiatehokkuuskorjausten tukemiseen osoitetaan merkittävä rahoitus.</w:t>
      </w:r>
    </w:p>
    <w:p w14:paraId="6617618B" w14:textId="0CFB10D0" w:rsidR="008F5360" w:rsidRDefault="2EC71D0B" w:rsidP="2EC71D0B">
      <w:pPr>
        <w:pStyle w:val="Luettelokappale"/>
        <w:numPr>
          <w:ilvl w:val="0"/>
          <w:numId w:val="8"/>
        </w:numPr>
        <w:spacing w:after="0" w:line="240" w:lineRule="auto"/>
        <w:rPr>
          <w:sz w:val="23"/>
          <w:szCs w:val="23"/>
        </w:rPr>
      </w:pPr>
      <w:r w:rsidRPr="2EC71D0B">
        <w:rPr>
          <w:sz w:val="23"/>
          <w:szCs w:val="23"/>
        </w:rPr>
        <w:t>EU-velvoitteiden toimeenpanoon tähtäävien toimien toteuttaminen rahoitetaan.</w:t>
      </w:r>
    </w:p>
    <w:p w14:paraId="16C0C4B2" w14:textId="49BD5B91" w:rsidR="00BF53DC" w:rsidRDefault="2EC71D0B" w:rsidP="2EC71D0B">
      <w:pPr>
        <w:pStyle w:val="Luettelokappale"/>
        <w:numPr>
          <w:ilvl w:val="0"/>
          <w:numId w:val="8"/>
        </w:numPr>
        <w:spacing w:after="0" w:line="240" w:lineRule="auto"/>
        <w:rPr>
          <w:sz w:val="23"/>
          <w:szCs w:val="23"/>
        </w:rPr>
      </w:pPr>
      <w:r w:rsidRPr="2EC71D0B">
        <w:rPr>
          <w:sz w:val="23"/>
          <w:szCs w:val="23"/>
        </w:rPr>
        <w:t>Varaudutaan virastorakenteen selvittämisestä aiheutuviin kuluihin.</w:t>
      </w:r>
    </w:p>
    <w:p w14:paraId="006EA757" w14:textId="36BD0DAA" w:rsidR="00DB4697" w:rsidRDefault="2EC71D0B" w:rsidP="2EC71D0B">
      <w:pPr>
        <w:pStyle w:val="Luettelokappale"/>
        <w:numPr>
          <w:ilvl w:val="0"/>
          <w:numId w:val="8"/>
        </w:numPr>
        <w:spacing w:after="0" w:line="240" w:lineRule="auto"/>
        <w:rPr>
          <w:sz w:val="23"/>
          <w:szCs w:val="23"/>
        </w:rPr>
      </w:pPr>
      <w:r w:rsidRPr="2EC71D0B">
        <w:rPr>
          <w:sz w:val="23"/>
          <w:szCs w:val="23"/>
        </w:rPr>
        <w:t>Rahaa hankintoihin 200 000 €</w:t>
      </w:r>
    </w:p>
    <w:p w14:paraId="7C2EA832" w14:textId="55D681D3" w:rsidR="006D4ADC" w:rsidRDefault="006D4ADC" w:rsidP="006D4ADC">
      <w:pPr>
        <w:spacing w:after="0" w:line="240" w:lineRule="auto"/>
        <w:rPr>
          <w:sz w:val="23"/>
          <w:szCs w:val="23"/>
        </w:rPr>
      </w:pPr>
    </w:p>
    <w:p w14:paraId="213F5352" w14:textId="7E6DF3A1" w:rsidR="006D4ADC" w:rsidRDefault="2EC71D0B" w:rsidP="2EC71D0B">
      <w:pPr>
        <w:spacing w:after="0" w:line="240" w:lineRule="auto"/>
        <w:rPr>
          <w:b/>
          <w:bCs/>
          <w:sz w:val="23"/>
          <w:szCs w:val="23"/>
        </w:rPr>
      </w:pPr>
      <w:r w:rsidRPr="2EC71D0B">
        <w:rPr>
          <w:b/>
          <w:bCs/>
          <w:sz w:val="23"/>
          <w:szCs w:val="23"/>
        </w:rPr>
        <w:t>Toimenpiteiden tärkeimmät vaikutukset:</w:t>
      </w:r>
    </w:p>
    <w:p w14:paraId="5B286644" w14:textId="396C3FD0" w:rsidR="006D4ADC" w:rsidRPr="006D4ADC" w:rsidRDefault="2EC71D0B" w:rsidP="2EC71D0B">
      <w:pPr>
        <w:pStyle w:val="Luettelokappale"/>
        <w:numPr>
          <w:ilvl w:val="0"/>
          <w:numId w:val="17"/>
        </w:numPr>
        <w:spacing w:after="0" w:line="240" w:lineRule="auto"/>
        <w:ind w:left="709"/>
        <w:rPr>
          <w:b/>
          <w:bCs/>
          <w:sz w:val="23"/>
          <w:szCs w:val="23"/>
        </w:rPr>
      </w:pPr>
      <w:r w:rsidRPr="2EC71D0B">
        <w:rPr>
          <w:sz w:val="23"/>
          <w:szCs w:val="23"/>
        </w:rPr>
        <w:t>Rakentamislain toimeenpano etenee ja asetukset valmistellaan aikataulussa vuorovaikutteisesti sidosryhmien kanssa.</w:t>
      </w:r>
    </w:p>
    <w:p w14:paraId="08D8F358" w14:textId="5042F9BD" w:rsidR="006D4ADC" w:rsidRPr="006D4ADC" w:rsidRDefault="2EC71D0B" w:rsidP="2EC71D0B">
      <w:pPr>
        <w:pStyle w:val="Luettelokappale"/>
        <w:numPr>
          <w:ilvl w:val="0"/>
          <w:numId w:val="17"/>
        </w:numPr>
        <w:spacing w:after="0" w:line="240" w:lineRule="auto"/>
        <w:ind w:left="709"/>
        <w:rPr>
          <w:b/>
          <w:bCs/>
          <w:sz w:val="23"/>
          <w:szCs w:val="23"/>
        </w:rPr>
      </w:pPr>
      <w:r w:rsidRPr="2EC71D0B">
        <w:rPr>
          <w:sz w:val="23"/>
          <w:szCs w:val="23"/>
        </w:rPr>
        <w:t>EU-sääntelyssä otetaan huomioon Suomen lainsäädäntötarpeet ja EU-lainsäädännön implementointi on sujuvaa.</w:t>
      </w:r>
    </w:p>
    <w:p w14:paraId="52469FE4" w14:textId="77777777" w:rsidR="00CF0FF4" w:rsidRPr="008C20A0" w:rsidRDefault="00CF0FF4" w:rsidP="00CF0FF4">
      <w:pPr>
        <w:spacing w:after="0"/>
        <w:ind w:left="360"/>
      </w:pPr>
    </w:p>
    <w:p w14:paraId="7A70C80A" w14:textId="77777777" w:rsidR="00CF0FF4" w:rsidRDefault="00CF0FF4" w:rsidP="00CF0FF4"/>
    <w:p w14:paraId="69193CE5" w14:textId="77777777" w:rsidR="00CF0FF4" w:rsidRPr="001212B1" w:rsidRDefault="00CF0FF4" w:rsidP="001212B1">
      <w:pPr>
        <w:spacing w:after="0" w:line="276" w:lineRule="auto"/>
        <w:rPr>
          <w:rFonts w:cstheme="minorHAnsi"/>
          <w:sz w:val="23"/>
          <w:szCs w:val="23"/>
        </w:rPr>
      </w:pPr>
    </w:p>
    <w:sectPr w:rsidR="00CF0FF4" w:rsidRPr="001212B1" w:rsidSect="00AE321A">
      <w:headerReference w:type="default" r:id="rId11"/>
      <w:foot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826FD" w14:textId="77777777" w:rsidR="000036C3" w:rsidRDefault="000036C3" w:rsidP="00E85E59">
      <w:pPr>
        <w:spacing w:after="0" w:line="240" w:lineRule="auto"/>
      </w:pPr>
      <w:r>
        <w:separator/>
      </w:r>
    </w:p>
  </w:endnote>
  <w:endnote w:type="continuationSeparator" w:id="0">
    <w:p w14:paraId="01B14796" w14:textId="77777777" w:rsidR="000036C3" w:rsidRDefault="000036C3" w:rsidP="00E85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13"/>
      <w:gridCol w:w="3213"/>
      <w:gridCol w:w="3213"/>
    </w:tblGrid>
    <w:tr w:rsidR="5903ABC0" w14:paraId="21EEAA4C" w14:textId="77777777" w:rsidTr="5903ABC0">
      <w:tc>
        <w:tcPr>
          <w:tcW w:w="3213" w:type="dxa"/>
        </w:tcPr>
        <w:p w14:paraId="760C5E0D" w14:textId="275795E2" w:rsidR="5903ABC0" w:rsidRDefault="5903ABC0" w:rsidP="5903ABC0">
          <w:pPr>
            <w:pStyle w:val="Yltunniste"/>
            <w:ind w:left="-115"/>
          </w:pPr>
        </w:p>
      </w:tc>
      <w:tc>
        <w:tcPr>
          <w:tcW w:w="3213" w:type="dxa"/>
        </w:tcPr>
        <w:p w14:paraId="33F5A3F4" w14:textId="2E454DE2" w:rsidR="5903ABC0" w:rsidRDefault="5903ABC0" w:rsidP="5903ABC0">
          <w:pPr>
            <w:pStyle w:val="Yltunniste"/>
            <w:jc w:val="center"/>
          </w:pPr>
        </w:p>
      </w:tc>
      <w:tc>
        <w:tcPr>
          <w:tcW w:w="3213" w:type="dxa"/>
        </w:tcPr>
        <w:p w14:paraId="622EB9E9" w14:textId="74ED665C" w:rsidR="5903ABC0" w:rsidRDefault="5903ABC0" w:rsidP="5903ABC0">
          <w:pPr>
            <w:pStyle w:val="Yltunniste"/>
            <w:ind w:right="-115"/>
            <w:jc w:val="right"/>
          </w:pPr>
        </w:p>
      </w:tc>
    </w:tr>
  </w:tbl>
  <w:p w14:paraId="0A241D2D" w14:textId="0A9710CD" w:rsidR="5903ABC0" w:rsidRDefault="5903ABC0" w:rsidP="5903ABC0">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874DD" w14:textId="77777777" w:rsidR="000036C3" w:rsidRDefault="000036C3" w:rsidP="00E85E59">
      <w:pPr>
        <w:spacing w:after="0" w:line="240" w:lineRule="auto"/>
      </w:pPr>
      <w:r>
        <w:separator/>
      </w:r>
    </w:p>
  </w:footnote>
  <w:footnote w:type="continuationSeparator" w:id="0">
    <w:p w14:paraId="77977449" w14:textId="77777777" w:rsidR="000036C3" w:rsidRDefault="000036C3" w:rsidP="00E85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360"/>
      <w:gridCol w:w="236"/>
      <w:gridCol w:w="236"/>
    </w:tblGrid>
    <w:tr w:rsidR="5903ABC0" w14:paraId="45F46421" w14:textId="77777777" w:rsidTr="2EC71D0B">
      <w:tc>
        <w:tcPr>
          <w:tcW w:w="9360" w:type="dxa"/>
        </w:tcPr>
        <w:p w14:paraId="79FAAE6E" w14:textId="1E1CF9BF" w:rsidR="00143F97" w:rsidRDefault="00143F97" w:rsidP="00143F97">
          <w:r>
            <w:t xml:space="preserve">Ym rakennetun ympäristön osasto, </w:t>
          </w:r>
          <w:r>
            <w:rPr>
              <w:rFonts w:ascii="Calibri" w:eastAsia="Calibri" w:hAnsi="Calibri" w:cs="Calibri"/>
            </w:rPr>
            <w:t>Teppo Lehtin</w:t>
          </w:r>
          <w:r>
            <w:rPr>
              <w:rFonts w:ascii="Times New Roman" w:eastAsia="Times New Roman" w:hAnsi="Times New Roman" w:cs="Times New Roman"/>
              <w:sz w:val="24"/>
              <w:szCs w:val="24"/>
            </w:rPr>
            <w:t>en</w:t>
          </w:r>
          <w:r>
            <w:rPr>
              <w:rFonts w:ascii="Calibri" w:eastAsia="Calibri" w:hAnsi="Calibri" w:cs="Calibri"/>
            </w:rPr>
            <w:t>, +358 295 250 157, +358 50 517 9202 tai kehittämisjohtaja Juho Korpi +358 295 250 136</w:t>
          </w:r>
        </w:p>
        <w:p w14:paraId="7B91D212" w14:textId="12084975" w:rsidR="5903ABC0" w:rsidRDefault="5903ABC0" w:rsidP="2EC71D0B">
          <w:pPr>
            <w:spacing w:after="0" w:line="276" w:lineRule="auto"/>
            <w:ind w:left="720"/>
            <w:rPr>
              <w:rFonts w:eastAsiaTheme="majorEastAsia"/>
              <w:color w:val="2E74B5" w:themeColor="accent1" w:themeShade="BF"/>
              <w:sz w:val="26"/>
              <w:szCs w:val="26"/>
            </w:rPr>
          </w:pPr>
        </w:p>
        <w:p w14:paraId="0EEEE3CB" w14:textId="66E36C62" w:rsidR="5903ABC0" w:rsidRDefault="5903ABC0" w:rsidP="5903ABC0">
          <w:pPr>
            <w:pStyle w:val="Yltunniste"/>
            <w:ind w:left="-115"/>
          </w:pPr>
        </w:p>
      </w:tc>
      <w:tc>
        <w:tcPr>
          <w:tcW w:w="135" w:type="dxa"/>
        </w:tcPr>
        <w:p w14:paraId="474DA218" w14:textId="55CC6B46" w:rsidR="5903ABC0" w:rsidRDefault="5903ABC0" w:rsidP="5903ABC0">
          <w:pPr>
            <w:pStyle w:val="Yltunniste"/>
            <w:jc w:val="center"/>
          </w:pPr>
        </w:p>
      </w:tc>
      <w:tc>
        <w:tcPr>
          <w:tcW w:w="143" w:type="dxa"/>
        </w:tcPr>
        <w:p w14:paraId="6A0F5926" w14:textId="7427C165" w:rsidR="5903ABC0" w:rsidRDefault="5903ABC0" w:rsidP="5903ABC0">
          <w:pPr>
            <w:pStyle w:val="Yltunniste"/>
            <w:ind w:right="-115"/>
            <w:jc w:val="right"/>
          </w:pPr>
        </w:p>
      </w:tc>
    </w:tr>
  </w:tbl>
  <w:p w14:paraId="6A3F6D13" w14:textId="55578F52" w:rsidR="5903ABC0" w:rsidRDefault="5903ABC0" w:rsidP="5903ABC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E416B9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8D454BC"/>
    <w:multiLevelType w:val="hybridMultilevel"/>
    <w:tmpl w:val="4E081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F833B1D"/>
    <w:multiLevelType w:val="hybridMultilevel"/>
    <w:tmpl w:val="12F80FC0"/>
    <w:lvl w:ilvl="0" w:tplc="040B0001">
      <w:start w:val="1"/>
      <w:numFmt w:val="bullet"/>
      <w:lvlText w:val=""/>
      <w:lvlJc w:val="left"/>
      <w:pPr>
        <w:ind w:left="768" w:hanging="360"/>
      </w:pPr>
      <w:rPr>
        <w:rFonts w:ascii="Symbol" w:hAnsi="Symbol" w:hint="default"/>
      </w:rPr>
    </w:lvl>
    <w:lvl w:ilvl="1" w:tplc="040B0003" w:tentative="1">
      <w:start w:val="1"/>
      <w:numFmt w:val="bullet"/>
      <w:lvlText w:val="o"/>
      <w:lvlJc w:val="left"/>
      <w:pPr>
        <w:ind w:left="1488" w:hanging="360"/>
      </w:pPr>
      <w:rPr>
        <w:rFonts w:ascii="Courier New" w:hAnsi="Courier New" w:cs="Courier New" w:hint="default"/>
      </w:rPr>
    </w:lvl>
    <w:lvl w:ilvl="2" w:tplc="040B0005" w:tentative="1">
      <w:start w:val="1"/>
      <w:numFmt w:val="bullet"/>
      <w:lvlText w:val=""/>
      <w:lvlJc w:val="left"/>
      <w:pPr>
        <w:ind w:left="2208" w:hanging="360"/>
      </w:pPr>
      <w:rPr>
        <w:rFonts w:ascii="Wingdings" w:hAnsi="Wingdings" w:hint="default"/>
      </w:rPr>
    </w:lvl>
    <w:lvl w:ilvl="3" w:tplc="040B0001" w:tentative="1">
      <w:start w:val="1"/>
      <w:numFmt w:val="bullet"/>
      <w:lvlText w:val=""/>
      <w:lvlJc w:val="left"/>
      <w:pPr>
        <w:ind w:left="2928" w:hanging="360"/>
      </w:pPr>
      <w:rPr>
        <w:rFonts w:ascii="Symbol" w:hAnsi="Symbol" w:hint="default"/>
      </w:rPr>
    </w:lvl>
    <w:lvl w:ilvl="4" w:tplc="040B0003" w:tentative="1">
      <w:start w:val="1"/>
      <w:numFmt w:val="bullet"/>
      <w:lvlText w:val="o"/>
      <w:lvlJc w:val="left"/>
      <w:pPr>
        <w:ind w:left="3648" w:hanging="360"/>
      </w:pPr>
      <w:rPr>
        <w:rFonts w:ascii="Courier New" w:hAnsi="Courier New" w:cs="Courier New" w:hint="default"/>
      </w:rPr>
    </w:lvl>
    <w:lvl w:ilvl="5" w:tplc="040B0005" w:tentative="1">
      <w:start w:val="1"/>
      <w:numFmt w:val="bullet"/>
      <w:lvlText w:val=""/>
      <w:lvlJc w:val="left"/>
      <w:pPr>
        <w:ind w:left="4368" w:hanging="360"/>
      </w:pPr>
      <w:rPr>
        <w:rFonts w:ascii="Wingdings" w:hAnsi="Wingdings" w:hint="default"/>
      </w:rPr>
    </w:lvl>
    <w:lvl w:ilvl="6" w:tplc="040B0001" w:tentative="1">
      <w:start w:val="1"/>
      <w:numFmt w:val="bullet"/>
      <w:lvlText w:val=""/>
      <w:lvlJc w:val="left"/>
      <w:pPr>
        <w:ind w:left="5088" w:hanging="360"/>
      </w:pPr>
      <w:rPr>
        <w:rFonts w:ascii="Symbol" w:hAnsi="Symbol" w:hint="default"/>
      </w:rPr>
    </w:lvl>
    <w:lvl w:ilvl="7" w:tplc="040B0003" w:tentative="1">
      <w:start w:val="1"/>
      <w:numFmt w:val="bullet"/>
      <w:lvlText w:val="o"/>
      <w:lvlJc w:val="left"/>
      <w:pPr>
        <w:ind w:left="5808" w:hanging="360"/>
      </w:pPr>
      <w:rPr>
        <w:rFonts w:ascii="Courier New" w:hAnsi="Courier New" w:cs="Courier New" w:hint="default"/>
      </w:rPr>
    </w:lvl>
    <w:lvl w:ilvl="8" w:tplc="040B0005" w:tentative="1">
      <w:start w:val="1"/>
      <w:numFmt w:val="bullet"/>
      <w:lvlText w:val=""/>
      <w:lvlJc w:val="left"/>
      <w:pPr>
        <w:ind w:left="6528" w:hanging="360"/>
      </w:pPr>
      <w:rPr>
        <w:rFonts w:ascii="Wingdings" w:hAnsi="Wingdings" w:hint="default"/>
      </w:rPr>
    </w:lvl>
  </w:abstractNum>
  <w:abstractNum w:abstractNumId="3" w15:restartNumberingAfterBreak="0">
    <w:nsid w:val="150344AE"/>
    <w:multiLevelType w:val="hybridMultilevel"/>
    <w:tmpl w:val="21C4D59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6543793"/>
    <w:multiLevelType w:val="hybridMultilevel"/>
    <w:tmpl w:val="6038D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47602AF"/>
    <w:multiLevelType w:val="hybridMultilevel"/>
    <w:tmpl w:val="206AF9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307D7694"/>
    <w:multiLevelType w:val="hybridMultilevel"/>
    <w:tmpl w:val="BEDEC4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36B879A0"/>
    <w:multiLevelType w:val="hybridMultilevel"/>
    <w:tmpl w:val="A11093EE"/>
    <w:lvl w:ilvl="0" w:tplc="0D340802">
      <w:start w:val="15"/>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3CFF46F1"/>
    <w:multiLevelType w:val="hybridMultilevel"/>
    <w:tmpl w:val="C2BE87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4F65E05"/>
    <w:multiLevelType w:val="hybridMultilevel"/>
    <w:tmpl w:val="373683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46D34AD5"/>
    <w:multiLevelType w:val="hybridMultilevel"/>
    <w:tmpl w:val="0F4E6954"/>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2" w15:restartNumberingAfterBreak="0">
    <w:nsid w:val="4B3874BE"/>
    <w:multiLevelType w:val="hybridMultilevel"/>
    <w:tmpl w:val="5E16CBB8"/>
    <w:lvl w:ilvl="0" w:tplc="FFFFFFFF">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BC2124E"/>
    <w:multiLevelType w:val="hybridMultilevel"/>
    <w:tmpl w:val="954C12DA"/>
    <w:lvl w:ilvl="0" w:tplc="FFFFFFFF">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4" w15:restartNumberingAfterBreak="0">
    <w:nsid w:val="5E791FB3"/>
    <w:multiLevelType w:val="hybridMultilevel"/>
    <w:tmpl w:val="BE94E6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655B17A4"/>
    <w:multiLevelType w:val="hybridMultilevel"/>
    <w:tmpl w:val="6AC0E4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2"/>
  </w:num>
  <w:num w:numId="5">
    <w:abstractNumId w:val="14"/>
  </w:num>
  <w:num w:numId="6">
    <w:abstractNumId w:val="1"/>
  </w:num>
  <w:num w:numId="7">
    <w:abstractNumId w:val="9"/>
  </w:num>
  <w:num w:numId="8">
    <w:abstractNumId w:val="10"/>
  </w:num>
  <w:num w:numId="9">
    <w:abstractNumId w:val="15"/>
  </w:num>
  <w:num w:numId="10">
    <w:abstractNumId w:val="0"/>
  </w:num>
  <w:num w:numId="11">
    <w:abstractNumId w:val="16"/>
  </w:num>
  <w:num w:numId="12">
    <w:abstractNumId w:val="6"/>
  </w:num>
  <w:num w:numId="13">
    <w:abstractNumId w:val="4"/>
  </w:num>
  <w:num w:numId="14">
    <w:abstractNumId w:val="7"/>
  </w:num>
  <w:num w:numId="15">
    <w:abstractNumId w:val="13"/>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E59"/>
    <w:rsid w:val="000036C3"/>
    <w:rsid w:val="00056C4F"/>
    <w:rsid w:val="00103EDC"/>
    <w:rsid w:val="001212B1"/>
    <w:rsid w:val="00121817"/>
    <w:rsid w:val="00143F97"/>
    <w:rsid w:val="00171BAD"/>
    <w:rsid w:val="001E5A39"/>
    <w:rsid w:val="00207BA1"/>
    <w:rsid w:val="00281941"/>
    <w:rsid w:val="0028745E"/>
    <w:rsid w:val="00335BDA"/>
    <w:rsid w:val="003943AF"/>
    <w:rsid w:val="003E790E"/>
    <w:rsid w:val="00454AE0"/>
    <w:rsid w:val="00516C49"/>
    <w:rsid w:val="00583062"/>
    <w:rsid w:val="005D548E"/>
    <w:rsid w:val="005F0E85"/>
    <w:rsid w:val="00631246"/>
    <w:rsid w:val="006C6406"/>
    <w:rsid w:val="006D4ADC"/>
    <w:rsid w:val="007D2658"/>
    <w:rsid w:val="007E71C3"/>
    <w:rsid w:val="007F3443"/>
    <w:rsid w:val="008F5360"/>
    <w:rsid w:val="009811E7"/>
    <w:rsid w:val="009A49CF"/>
    <w:rsid w:val="00A31795"/>
    <w:rsid w:val="00AE321A"/>
    <w:rsid w:val="00B70325"/>
    <w:rsid w:val="00BE1E2F"/>
    <w:rsid w:val="00BF53DC"/>
    <w:rsid w:val="00C42032"/>
    <w:rsid w:val="00C71498"/>
    <w:rsid w:val="00C9204E"/>
    <w:rsid w:val="00C970C4"/>
    <w:rsid w:val="00CA73C9"/>
    <w:rsid w:val="00CF0FF4"/>
    <w:rsid w:val="00D53C97"/>
    <w:rsid w:val="00D7033D"/>
    <w:rsid w:val="00DB0287"/>
    <w:rsid w:val="00DB4697"/>
    <w:rsid w:val="00E129F1"/>
    <w:rsid w:val="00E27907"/>
    <w:rsid w:val="00E75D35"/>
    <w:rsid w:val="00E85E59"/>
    <w:rsid w:val="00EB30F3"/>
    <w:rsid w:val="0C96862F"/>
    <w:rsid w:val="1311C678"/>
    <w:rsid w:val="2EC71D0B"/>
    <w:rsid w:val="50BF6FDB"/>
    <w:rsid w:val="5903ABC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1664"/>
  <w15:chartTrackingRefBased/>
  <w15:docId w15:val="{B9A255E2-8A03-42D4-A2B2-D2BAE93A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85E59"/>
  </w:style>
  <w:style w:type="paragraph" w:styleId="Otsikko2">
    <w:name w:val="heading 2"/>
    <w:basedOn w:val="Normaali"/>
    <w:next w:val="Normaali"/>
    <w:link w:val="Otsikko2Char"/>
    <w:uiPriority w:val="9"/>
    <w:unhideWhenUsed/>
    <w:qFormat/>
    <w:rsid w:val="00E85E59"/>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E85E59"/>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85E59"/>
  </w:style>
  <w:style w:type="paragraph" w:styleId="Alatunniste">
    <w:name w:val="footer"/>
    <w:basedOn w:val="Normaali"/>
    <w:link w:val="AlatunnisteChar"/>
    <w:uiPriority w:val="99"/>
    <w:unhideWhenUsed/>
    <w:rsid w:val="00E85E59"/>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85E59"/>
  </w:style>
  <w:style w:type="character" w:customStyle="1" w:styleId="Otsikko2Char">
    <w:name w:val="Otsikko 2 Char"/>
    <w:basedOn w:val="Kappaleenoletusfontti"/>
    <w:link w:val="Otsikko2"/>
    <w:uiPriority w:val="9"/>
    <w:rsid w:val="00E85E59"/>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E85E59"/>
    <w:pPr>
      <w:ind w:left="720"/>
      <w:contextualSpacing/>
    </w:pPr>
  </w:style>
  <w:style w:type="character" w:customStyle="1" w:styleId="LuettelokappaleChar">
    <w:name w:val="Luettelokappale Char"/>
    <w:link w:val="Luettelokappale"/>
    <w:uiPriority w:val="34"/>
    <w:rsid w:val="00E85E59"/>
  </w:style>
  <w:style w:type="paragraph" w:styleId="Seliteteksti">
    <w:name w:val="Balloon Text"/>
    <w:basedOn w:val="Normaali"/>
    <w:link w:val="SelitetekstiChar"/>
    <w:uiPriority w:val="99"/>
    <w:semiHidden/>
    <w:unhideWhenUsed/>
    <w:rsid w:val="00056C4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056C4F"/>
    <w:rPr>
      <w:rFonts w:ascii="Segoe UI" w:hAnsi="Segoe UI" w:cs="Segoe UI"/>
      <w:sz w:val="18"/>
      <w:szCs w:val="18"/>
    </w:rPr>
  </w:style>
  <w:style w:type="character" w:styleId="Kommentinviite">
    <w:name w:val="annotation reference"/>
    <w:basedOn w:val="Kappaleenoletusfontti"/>
    <w:uiPriority w:val="99"/>
    <w:semiHidden/>
    <w:unhideWhenUsed/>
    <w:rsid w:val="00D53C97"/>
    <w:rPr>
      <w:sz w:val="16"/>
      <w:szCs w:val="16"/>
    </w:rPr>
  </w:style>
  <w:style w:type="paragraph" w:styleId="Kommentinteksti">
    <w:name w:val="annotation text"/>
    <w:basedOn w:val="Normaali"/>
    <w:link w:val="KommentintekstiChar"/>
    <w:uiPriority w:val="99"/>
    <w:semiHidden/>
    <w:unhideWhenUsed/>
    <w:rsid w:val="00D53C97"/>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D53C97"/>
    <w:rPr>
      <w:sz w:val="20"/>
      <w:szCs w:val="20"/>
    </w:rPr>
  </w:style>
  <w:style w:type="paragraph" w:styleId="Kommentinotsikko">
    <w:name w:val="annotation subject"/>
    <w:basedOn w:val="Kommentinteksti"/>
    <w:next w:val="Kommentinteksti"/>
    <w:link w:val="KommentinotsikkoChar"/>
    <w:uiPriority w:val="99"/>
    <w:semiHidden/>
    <w:unhideWhenUsed/>
    <w:rsid w:val="00D53C97"/>
    <w:rPr>
      <w:b/>
      <w:bCs/>
    </w:rPr>
  </w:style>
  <w:style w:type="character" w:customStyle="1" w:styleId="KommentinotsikkoChar">
    <w:name w:val="Kommentin otsikko Char"/>
    <w:basedOn w:val="KommentintekstiChar"/>
    <w:link w:val="Kommentinotsikko"/>
    <w:uiPriority w:val="99"/>
    <w:semiHidden/>
    <w:rsid w:val="00D53C97"/>
    <w:rPr>
      <w:b/>
      <w:bCs/>
      <w:sz w:val="20"/>
      <w:szCs w:val="20"/>
    </w:rPr>
  </w:style>
  <w:style w:type="character" w:styleId="Hyperlinkki">
    <w:name w:val="Hyperlink"/>
    <w:basedOn w:val="Kappaleenoletusfontti"/>
    <w:uiPriority w:val="99"/>
    <w:unhideWhenUsed/>
    <w:rsid w:val="001212B1"/>
    <w:rPr>
      <w:color w:val="0000FF"/>
      <w:u w:val="single"/>
    </w:rPr>
  </w:style>
  <w:style w:type="table" w:styleId="TaulukkoRuudukko">
    <w:name w:val="Table Grid"/>
    <w:basedOn w:val="Normaalitaulukk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11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D90D0C86-1F30-4EED-A044-1A980D28770D}">
  <ds:schemaRefs>
    <ds:schemaRef ds:uri="http://schemas.microsoft.com/sharepoint/v3/contenttype/forms"/>
  </ds:schemaRefs>
</ds:datastoreItem>
</file>

<file path=customXml/itemProps2.xml><?xml version="1.0" encoding="utf-8"?>
<ds:datastoreItem xmlns:ds="http://schemas.openxmlformats.org/officeDocument/2006/customXml" ds:itemID="{5A4B0329-1FB6-4BA6-AC37-E650539C2FFA}">
  <ds:schemaRefs>
    <ds:schemaRef ds:uri="Microsoft.SharePoint.Taxonomy.ContentTypeSync"/>
  </ds:schemaRefs>
</ds:datastoreItem>
</file>

<file path=customXml/itemProps3.xml><?xml version="1.0" encoding="utf-8"?>
<ds:datastoreItem xmlns:ds="http://schemas.openxmlformats.org/officeDocument/2006/customXml" ds:itemID="{6A5967F8-C53C-4442-9F8F-3DCED172E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C4F1A5-40F3-4F68-8085-14D4408A220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138b538-c2fd-4cca-8c26-6e4e32e5a04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6556</Characters>
  <Application>Microsoft Office Word</Application>
  <DocSecurity>0</DocSecurity>
  <Lines>54</Lines>
  <Paragraphs>14</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Tähtinen Timo</dc:creator>
  <cp:keywords/>
  <dc:description/>
  <cp:lastModifiedBy>Korpi Juho (YM)</cp:lastModifiedBy>
  <cp:revision>3</cp:revision>
  <dcterms:created xsi:type="dcterms:W3CDTF">2023-04-24T06:04:00Z</dcterms:created>
  <dcterms:modified xsi:type="dcterms:W3CDTF">2023-04-24T10:31:00Z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